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766A330B" w14:textId="77777777" w:rsidTr="000F4A92">
        <w:tc>
          <w:tcPr>
            <w:tcW w:w="4531" w:type="dxa"/>
          </w:tcPr>
          <w:p w14:paraId="0AC6E8A6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D7F1F6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35348A" w14:textId="77777777" w:rsidR="00374CBD" w:rsidRPr="00A36231" w:rsidRDefault="00374CBD" w:rsidP="00374CB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6231">
        <w:rPr>
          <w:rFonts w:ascii="Verdana" w:hAnsi="Verdana"/>
          <w:b/>
          <w:sz w:val="24"/>
          <w:szCs w:val="24"/>
        </w:rPr>
        <w:t xml:space="preserve">ZÁRÓVIZSGA FELKÉSZÜLÉSI KÉRDÉSEK (2022/2023. tanév) </w:t>
      </w:r>
    </w:p>
    <w:p w14:paraId="0B2D829B" w14:textId="77777777" w:rsidR="008C3875" w:rsidRPr="00A36231" w:rsidRDefault="00374CBD" w:rsidP="00374CB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6231">
        <w:rPr>
          <w:rFonts w:ascii="Verdana" w:hAnsi="Verdana"/>
          <w:b/>
          <w:sz w:val="24"/>
          <w:szCs w:val="24"/>
        </w:rPr>
        <w:t>Nemzetközi bizton</w:t>
      </w:r>
      <w:r w:rsidR="003B523D" w:rsidRPr="00A36231">
        <w:rPr>
          <w:rFonts w:ascii="Verdana" w:hAnsi="Verdana"/>
          <w:b/>
          <w:sz w:val="24"/>
          <w:szCs w:val="24"/>
        </w:rPr>
        <w:t>ság- és védelempolitikai</w:t>
      </w:r>
      <w:bookmarkStart w:id="0" w:name="_GoBack"/>
      <w:bookmarkEnd w:id="0"/>
      <w:r w:rsidR="003B523D" w:rsidRPr="00A36231">
        <w:rPr>
          <w:rFonts w:ascii="Verdana" w:hAnsi="Verdana"/>
          <w:b/>
          <w:sz w:val="24"/>
          <w:szCs w:val="24"/>
        </w:rPr>
        <w:t xml:space="preserve"> szak (M</w:t>
      </w:r>
      <w:r w:rsidRPr="00A36231">
        <w:rPr>
          <w:rFonts w:ascii="Verdana" w:hAnsi="Verdana"/>
          <w:b/>
          <w:sz w:val="24"/>
          <w:szCs w:val="24"/>
        </w:rPr>
        <w:t>A)</w:t>
      </w:r>
    </w:p>
    <w:p w14:paraId="6BF81A12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280D135C" w14:textId="77777777" w:rsidR="002B7A00" w:rsidRDefault="00374CBD" w:rsidP="00133358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5000C5">
        <w:rPr>
          <w:rFonts w:ascii="Verdana" w:hAnsi="Verdana"/>
          <w:b/>
          <w:sz w:val="20"/>
          <w:szCs w:val="20"/>
        </w:rPr>
        <w:t xml:space="preserve">NEMZETKÖZI ÉS BIZTONSÁGPOLITIKAI DISZCIPLÍNÁK </w:t>
      </w:r>
    </w:p>
    <w:p w14:paraId="18AC7CC7" w14:textId="77777777" w:rsidR="00133358" w:rsidRPr="00133358" w:rsidRDefault="00133358" w:rsidP="00133358">
      <w:pPr>
        <w:spacing w:after="0" w:line="360" w:lineRule="auto"/>
        <w:ind w:left="993" w:hanging="284"/>
        <w:jc w:val="both"/>
        <w:rPr>
          <w:rFonts w:ascii="Verdana" w:hAnsi="Verdana"/>
          <w:sz w:val="20"/>
          <w:szCs w:val="20"/>
        </w:rPr>
      </w:pPr>
    </w:p>
    <w:p w14:paraId="2C3B954B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biztonság fogalmának változása, szűkebb, tágabb és mélyebb értelmezése. A biztonság legfontosabb összetevői közötti viszony. </w:t>
      </w:r>
    </w:p>
    <w:p w14:paraId="04DB1E2A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nemzeti, a nemzetközi és a globális biztonság értelmezése és összefüggésrendszere.</w:t>
      </w:r>
    </w:p>
    <w:p w14:paraId="6520E269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nemzetközi kapcsolatok jellemzése a XXI. század elején. A globális kormányzási komplexum szereplői és azok szerepe a világrend alakításában. </w:t>
      </w:r>
    </w:p>
    <w:p w14:paraId="399AB5FB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Geopolitikai és geostratégiai változások az ezredforduló után. A multipolaritás jellemzői. A gyenge és működésképtelen államok hatása a regionális biztonságra.</w:t>
      </w:r>
    </w:p>
    <w:p w14:paraId="7F441DDE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regionális biztonsági komplexum elmélete. Egy-egy példa bemutatása (pl. a kelet-közép-európai szubrégió biztonságpolitikai értékelése).</w:t>
      </w:r>
    </w:p>
    <w:p w14:paraId="733ADCFC" w14:textId="589B8BF8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humánbiztonság koncepció</w:t>
      </w:r>
      <w:r w:rsidR="00A72771">
        <w:rPr>
          <w:rFonts w:ascii="Verdana" w:hAnsi="Verdana"/>
          <w:sz w:val="20"/>
          <w:szCs w:val="20"/>
        </w:rPr>
        <w:t>ja</w:t>
      </w:r>
      <w:r w:rsidRPr="003B523D">
        <w:rPr>
          <w:rFonts w:ascii="Verdana" w:hAnsi="Verdana"/>
          <w:sz w:val="20"/>
          <w:szCs w:val="20"/>
        </w:rPr>
        <w:t xml:space="preserve">. A humánbiztonság </w:t>
      </w:r>
      <w:r w:rsidR="00A72771">
        <w:rPr>
          <w:rFonts w:ascii="Verdana" w:hAnsi="Verdana"/>
          <w:sz w:val="20"/>
          <w:szCs w:val="20"/>
        </w:rPr>
        <w:t xml:space="preserve">helye </w:t>
      </w:r>
      <w:r w:rsidRPr="003B523D">
        <w:rPr>
          <w:rFonts w:ascii="Verdana" w:hAnsi="Verdana"/>
          <w:sz w:val="20"/>
          <w:szCs w:val="20"/>
        </w:rPr>
        <w:t xml:space="preserve">és </w:t>
      </w:r>
      <w:r w:rsidR="00A72771">
        <w:rPr>
          <w:rFonts w:ascii="Verdana" w:hAnsi="Verdana"/>
          <w:sz w:val="20"/>
          <w:szCs w:val="20"/>
        </w:rPr>
        <w:t xml:space="preserve">szerepe </w:t>
      </w:r>
      <w:r w:rsidRPr="003B523D">
        <w:rPr>
          <w:rFonts w:ascii="Verdana" w:hAnsi="Verdana"/>
          <w:sz w:val="20"/>
          <w:szCs w:val="20"/>
        </w:rPr>
        <w:t xml:space="preserve">a </w:t>
      </w:r>
      <w:r w:rsidR="00A72771">
        <w:rPr>
          <w:rFonts w:ascii="Verdana" w:hAnsi="Verdana"/>
          <w:sz w:val="20"/>
          <w:szCs w:val="20"/>
        </w:rPr>
        <w:t>biztonság-elméleti felfogásban</w:t>
      </w:r>
      <w:r w:rsidRPr="003B523D">
        <w:rPr>
          <w:rFonts w:ascii="Verdana" w:hAnsi="Verdana"/>
          <w:sz w:val="20"/>
          <w:szCs w:val="20"/>
        </w:rPr>
        <w:t>.</w:t>
      </w:r>
    </w:p>
    <w:p w14:paraId="343C9BD2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nemzetközi szervezetek (ENSZ, EU, NATO, EBESZ) helye, szerepe és tevékenysége a béke és biztonság fenntartásában. </w:t>
      </w:r>
    </w:p>
    <w:p w14:paraId="14328CE7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Európai Unió közös biztonság- és védelempolitikájának fejlődése (EVK, EBVP, KBVP) és az EU nemzetközi rendszerben betöltött szerepének jellemzői.</w:t>
      </w:r>
    </w:p>
    <w:p w14:paraId="72542393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lisszaboni szerződéssel bevezetett változások. Az EU KKBP és KBVP döntéshozatali folyamatai és intézményrendszere. </w:t>
      </w:r>
    </w:p>
    <w:p w14:paraId="20E5BE4F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 globális kül- és biztonságpolitikai stratégiája (2016) és az EU Stratégiai iránytű (2022) ismertetése.</w:t>
      </w:r>
    </w:p>
    <w:p w14:paraId="28C29293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 válságkezelési képességei, folyó civil és katonai missziói és műveletei. Az EU integrált megközelítése a válságkezelésben. Magyarország hozzájárulása az EU missziókhoz és műveletekhez (létszámok, történetiség, egy konkrét példa részletesebb bemutatása).</w:t>
      </w:r>
    </w:p>
    <w:p w14:paraId="4B7DDBE1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KBVP  (civil és katonai) missziók és műveletek parancsnoksági struktúrája és a finanszírozás módja (Európai Békekeret).</w:t>
      </w:r>
    </w:p>
    <w:p w14:paraId="366935B5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EU globális kül- és biztonságpolitikai stratégiát (2016) követően bevezetett védelmi kezdeményezések (MPCC, PESCO, CARD, EDF). Az Európai Védelmi Unió koncepciója.</w:t>
      </w:r>
    </w:p>
    <w:p w14:paraId="7D3E3AF7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kollektív biztonság, a kollektív védelem és kooperatív biztonság koncepciója. </w:t>
      </w:r>
    </w:p>
    <w:p w14:paraId="57690A3E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Realizmus és biztonság. A realista biztonságelméleti koncepciók (a biztonság kettős jellege, elrettentés, biztonsági dilemma, offenzív és defenzív biztonság elmélete).</w:t>
      </w:r>
    </w:p>
    <w:p w14:paraId="73BAD7BE" w14:textId="1118C919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Liberalizmus és </w:t>
      </w:r>
      <w:r w:rsidR="00A72771">
        <w:rPr>
          <w:rFonts w:ascii="Verdana" w:hAnsi="Verdana"/>
          <w:sz w:val="20"/>
          <w:szCs w:val="20"/>
        </w:rPr>
        <w:t>a b</w:t>
      </w:r>
      <w:r w:rsidRPr="003B523D">
        <w:rPr>
          <w:rFonts w:ascii="Verdana" w:hAnsi="Verdana"/>
          <w:sz w:val="20"/>
          <w:szCs w:val="20"/>
        </w:rPr>
        <w:t>iztonság. A liberális biztonsági elméletek (</w:t>
      </w:r>
      <w:r w:rsidR="00A72771">
        <w:rPr>
          <w:rFonts w:ascii="Verdana" w:hAnsi="Verdana"/>
          <w:sz w:val="20"/>
          <w:szCs w:val="20"/>
        </w:rPr>
        <w:t xml:space="preserve">háború és béke felfogása, </w:t>
      </w:r>
      <w:r w:rsidRPr="003B523D">
        <w:rPr>
          <w:rFonts w:ascii="Verdana" w:hAnsi="Verdana"/>
          <w:sz w:val="20"/>
          <w:szCs w:val="20"/>
        </w:rPr>
        <w:t xml:space="preserve">demokratikus béke elmélete) ismertetése. </w:t>
      </w:r>
    </w:p>
    <w:p w14:paraId="61F39174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lastRenderedPageBreak/>
        <w:t xml:space="preserve">A konstruktivizmus és a koppenhágai biztonságelméleti iskola. Konstruktivista (biztonságiasítás) biztonsági koncepció magyarázata nemzetközi és hazai példák alapján. </w:t>
      </w:r>
    </w:p>
    <w:p w14:paraId="581FEBAD" w14:textId="77777777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NATO válságreagáló műveleteinek stratégiai jelentősége és hatása. A konfliktusok kezelésének nemzetközi tapasztalatai.  </w:t>
      </w:r>
    </w:p>
    <w:p w14:paraId="5BA13233" w14:textId="095018E4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ENSZ konfliktuskezelési gyakorlatának értékelése, a békefenntartás fej</w:t>
      </w:r>
      <w:r w:rsidR="00A72771">
        <w:rPr>
          <w:rFonts w:ascii="Verdana" w:hAnsi="Verdana"/>
          <w:sz w:val="20"/>
          <w:szCs w:val="20"/>
        </w:rPr>
        <w:t>l</w:t>
      </w:r>
      <w:r w:rsidRPr="003B523D">
        <w:rPr>
          <w:rFonts w:ascii="Verdana" w:hAnsi="Verdana"/>
          <w:sz w:val="20"/>
          <w:szCs w:val="20"/>
        </w:rPr>
        <w:t xml:space="preserve">ődése. A világszervezet békefenntartó tevékenységének fejlődése. ENSZ missziók tapasztalatai. </w:t>
      </w:r>
    </w:p>
    <w:p w14:paraId="520FAD03" w14:textId="0AA89016" w:rsidR="003B523D" w:rsidRP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amerikai biztonsági stratégiák rendszere. Az amerikai nemzeti biztonsági stratégia (202</w:t>
      </w:r>
      <w:r w:rsidR="00A72771">
        <w:rPr>
          <w:rFonts w:ascii="Verdana" w:hAnsi="Verdana"/>
          <w:sz w:val="20"/>
          <w:szCs w:val="20"/>
        </w:rPr>
        <w:t>2</w:t>
      </w:r>
      <w:r w:rsidRPr="003B523D">
        <w:rPr>
          <w:rFonts w:ascii="Verdana" w:hAnsi="Verdana"/>
          <w:sz w:val="20"/>
          <w:szCs w:val="20"/>
        </w:rPr>
        <w:t xml:space="preserve">) bemutatása. </w:t>
      </w:r>
    </w:p>
    <w:p w14:paraId="3E6D27CD" w14:textId="5257E4CD" w:rsidR="003B523D" w:rsidRDefault="003B523D" w:rsidP="00133358">
      <w:pPr>
        <w:pStyle w:val="Listaszerbekezds"/>
        <w:numPr>
          <w:ilvl w:val="0"/>
          <w:numId w:val="14"/>
        </w:numPr>
        <w:spacing w:line="276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Az USA védelmi (20</w:t>
      </w:r>
      <w:r w:rsidR="00A72771">
        <w:rPr>
          <w:rFonts w:ascii="Verdana" w:hAnsi="Verdana"/>
          <w:sz w:val="20"/>
          <w:szCs w:val="20"/>
        </w:rPr>
        <w:t>22</w:t>
      </w:r>
      <w:r w:rsidRPr="003B523D">
        <w:rPr>
          <w:rFonts w:ascii="Verdana" w:hAnsi="Verdana"/>
          <w:sz w:val="20"/>
          <w:szCs w:val="20"/>
        </w:rPr>
        <w:t>) és katonai stratégia (20</w:t>
      </w:r>
      <w:r w:rsidR="00CC1D4E">
        <w:rPr>
          <w:rFonts w:ascii="Verdana" w:hAnsi="Verdana"/>
          <w:sz w:val="20"/>
          <w:szCs w:val="20"/>
        </w:rPr>
        <w:t>22</w:t>
      </w:r>
      <w:r w:rsidRPr="003B523D">
        <w:rPr>
          <w:rFonts w:ascii="Verdana" w:hAnsi="Verdana"/>
          <w:sz w:val="20"/>
          <w:szCs w:val="20"/>
        </w:rPr>
        <w:t>) bemutatása, az amerikai haderő-fejlesztés és a stratégiák összefüggéseinek magyarázata</w:t>
      </w:r>
      <w:r w:rsidRPr="003B523D">
        <w:rPr>
          <w:rFonts w:ascii="Verdana" w:hAnsi="Verdana"/>
          <w:b/>
          <w:sz w:val="20"/>
          <w:szCs w:val="20"/>
        </w:rPr>
        <w:t xml:space="preserve">.  </w:t>
      </w:r>
    </w:p>
    <w:p w14:paraId="7C9CC9E5" w14:textId="77777777" w:rsidR="00133358" w:rsidRPr="00CA52AC" w:rsidRDefault="00133358" w:rsidP="00133358">
      <w:pPr>
        <w:pStyle w:val="Listaszerbekezds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5FA6202" w14:textId="77777777" w:rsidR="002B7A00" w:rsidRDefault="003B523D" w:rsidP="00133358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VÉDELEMPOLITIKAI DISZCIPLINÁK</w:t>
      </w:r>
    </w:p>
    <w:p w14:paraId="118EBE79" w14:textId="77777777" w:rsidR="00133358" w:rsidRPr="00133358" w:rsidRDefault="00133358" w:rsidP="00133358">
      <w:pPr>
        <w:spacing w:after="0" w:line="276" w:lineRule="auto"/>
        <w:ind w:firstLine="426"/>
        <w:jc w:val="both"/>
        <w:rPr>
          <w:rFonts w:ascii="Verdana" w:hAnsi="Verdana"/>
          <w:sz w:val="20"/>
          <w:szCs w:val="20"/>
        </w:rPr>
      </w:pPr>
    </w:p>
    <w:p w14:paraId="2C2DCFF8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nemzetközi katonai biztonság jellemzői. Új háborús elméletek. A hibrid hadviselés jellemzői.</w:t>
      </w:r>
    </w:p>
    <w:p w14:paraId="749036C8" w14:textId="3A19057A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Joe Biden amerikai elnök kül- és biztonság- és védelempolitikájának értékelése, változások az USA és NATO, USA és EU, valamint USA és Kína politikában</w:t>
      </w:r>
      <w:r w:rsidR="00CC1D4E">
        <w:rPr>
          <w:rFonts w:ascii="Verdana" w:hAnsi="Verdana"/>
          <w:sz w:val="20"/>
          <w:szCs w:val="20"/>
        </w:rPr>
        <w:t>, különös tekintettel az orosz-ukrán háborúra</w:t>
      </w:r>
      <w:r w:rsidRPr="003B523D">
        <w:rPr>
          <w:rFonts w:ascii="Verdana" w:hAnsi="Verdana"/>
          <w:sz w:val="20"/>
          <w:szCs w:val="20"/>
        </w:rPr>
        <w:t xml:space="preserve">.  </w:t>
      </w:r>
    </w:p>
    <w:p w14:paraId="5B9280C1" w14:textId="33C2E469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USA védelmi szférája (főbb elemei, pl. védelmi misztérium, ügynökségek stb.) és az amerikai fegyveres erők jellemzése. A védelmi minisztérium szervezeti felépítése. Döntéshozatal és az amerikai fegyveres erők vezetése és irányítása (pl. vezérkari főnökök </w:t>
      </w:r>
      <w:r w:rsidR="00CC1D4E">
        <w:rPr>
          <w:rFonts w:ascii="Verdana" w:hAnsi="Verdana"/>
          <w:sz w:val="20"/>
          <w:szCs w:val="20"/>
        </w:rPr>
        <w:t>bizottsága</w:t>
      </w:r>
      <w:r w:rsidRPr="003B523D">
        <w:rPr>
          <w:rFonts w:ascii="Verdana" w:hAnsi="Verdana"/>
          <w:sz w:val="20"/>
          <w:szCs w:val="20"/>
        </w:rPr>
        <w:t xml:space="preserve">).  </w:t>
      </w:r>
    </w:p>
    <w:p w14:paraId="1E624DBF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orosz biztonság- és védelempolitika fejlődése. Az Oroszországi Föderáció nemzeti biztonsági stratégiájának (2021) és katonai doktrínájának (2014) jellemzése. </w:t>
      </w:r>
    </w:p>
    <w:p w14:paraId="3C4D65DD" w14:textId="3388C95F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</w:t>
      </w:r>
      <w:r w:rsidR="00E766BC">
        <w:rPr>
          <w:rFonts w:ascii="Verdana" w:hAnsi="Verdana"/>
          <w:sz w:val="20"/>
          <w:szCs w:val="20"/>
        </w:rPr>
        <w:t xml:space="preserve">orosz fegyveres erők </w:t>
      </w:r>
      <w:r w:rsidRPr="003B523D">
        <w:rPr>
          <w:rFonts w:ascii="Verdana" w:hAnsi="Verdana"/>
          <w:sz w:val="20"/>
          <w:szCs w:val="20"/>
        </w:rPr>
        <w:t xml:space="preserve">átalakítás és haditechnikai modernizációja. Az orosz biztonság- és védelempolitikai döntéshozatali rendje. Az ukrajnai háború tapasztalatai.      </w:t>
      </w:r>
    </w:p>
    <w:p w14:paraId="0049A216" w14:textId="31708FAD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KNK biztonságfelfogása, a 2019-es kínai védelmi stratégia értékelése. A kínai haderő pártirányítása </w:t>
      </w:r>
    </w:p>
    <w:p w14:paraId="23DBCE75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kínai védelmi szféra és a kínai haderő jellemzése. A KNFH reformja és haditechnikai fejlesztése.</w:t>
      </w:r>
    </w:p>
    <w:p w14:paraId="428C1547" w14:textId="26F62F19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 20</w:t>
      </w:r>
      <w:r w:rsidR="00CC1D4E">
        <w:rPr>
          <w:rFonts w:ascii="Verdana" w:hAnsi="Verdana"/>
          <w:sz w:val="20"/>
          <w:szCs w:val="20"/>
        </w:rPr>
        <w:t>22</w:t>
      </w:r>
      <w:r w:rsidRPr="003B523D">
        <w:rPr>
          <w:rFonts w:ascii="Verdana" w:hAnsi="Verdana"/>
          <w:sz w:val="20"/>
          <w:szCs w:val="20"/>
        </w:rPr>
        <w:t xml:space="preserve">. évi stratégiai koncepciójának értékelése. A NATO 2030 jelentés hatása a szövetség stratégai gondolkodására. </w:t>
      </w:r>
    </w:p>
    <w:p w14:paraId="1319248E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Az Észak-atlanti Szerződés bemutatása, a 3.4.5. 9. 10. cikkek ismertetése. A mai NATO főbb jellemzői. </w:t>
      </w:r>
    </w:p>
    <w:p w14:paraId="469C144E" w14:textId="26F2261D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 szervezeti felépítése, döntéshozatali mechanizmusa. A 201</w:t>
      </w:r>
      <w:r w:rsidR="00CC1D4E">
        <w:rPr>
          <w:rFonts w:ascii="Verdana" w:hAnsi="Verdana"/>
          <w:sz w:val="20"/>
          <w:szCs w:val="20"/>
        </w:rPr>
        <w:t>9</w:t>
      </w:r>
      <w:r w:rsidRPr="003B523D">
        <w:rPr>
          <w:rFonts w:ascii="Verdana" w:hAnsi="Verdana"/>
          <w:sz w:val="20"/>
          <w:szCs w:val="20"/>
        </w:rPr>
        <w:t xml:space="preserve">. utánicsúcstalálkozók szerepe a NATO átalakításában. </w:t>
      </w:r>
    </w:p>
    <w:p w14:paraId="6CC3E16E" w14:textId="07D6901C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NATO-ban a  kollektív védelem és az elrettentés szerepe. A készenléti akcióterv (RAP) jellemzése. Új védelmi intézkedések az orosz</w:t>
      </w:r>
      <w:r w:rsidR="00E766BC">
        <w:rPr>
          <w:rFonts w:ascii="Verdana" w:hAnsi="Verdana"/>
          <w:sz w:val="20"/>
          <w:szCs w:val="20"/>
        </w:rPr>
        <w:t xml:space="preserve">- ukrán háború után. </w:t>
      </w:r>
      <w:r w:rsidRPr="003B523D">
        <w:rPr>
          <w:rFonts w:ascii="Verdana" w:hAnsi="Verdana"/>
          <w:sz w:val="20"/>
          <w:szCs w:val="20"/>
        </w:rPr>
        <w:t xml:space="preserve"> </w:t>
      </w:r>
    </w:p>
    <w:p w14:paraId="31AC24C9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NATO és a Mediterrán Dialógus. A biztonság kivetítése a déli stratégiai irányba a NATO részéről. Az arab tavasz és a migrációs és menekültválság hatása. A NATO „déli csomagjának” jellemzése. A NATO Stratégiai Irány Dél Központ (NSD-S Hub, Nápoly) feladatai és működése. Védelmi és műveleti szintű együttműködés az Európai Unióval. </w:t>
      </w:r>
    </w:p>
    <w:p w14:paraId="340BF52F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NATO szerepe a globális és regionális biztonsági kihívások kezelésében. A NATO parancsnoksági rendszer megerősítése. A kiber és hibrid hadviselésre való felkészülés. </w:t>
      </w:r>
    </w:p>
    <w:p w14:paraId="49C9CE76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lastRenderedPageBreak/>
        <w:t>A NATO katonai képességek fejlesztése. A 3C (költségvetés, képességfejlesztés, műveleti hozzájárulás) értékelése. Magyarország hozzájárulása a folyó NATO műveletekhez.</w:t>
      </w:r>
    </w:p>
    <w:p w14:paraId="5E025C28" w14:textId="2DA01C33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NATO partnerséget erősítő szervezeti-működési formák. A NATO mint biztonsági közösség. NATO folyó béketámogató művelete</w:t>
      </w:r>
      <w:r w:rsidR="00E766BC">
        <w:rPr>
          <w:rFonts w:ascii="Verdana" w:hAnsi="Verdana"/>
          <w:sz w:val="20"/>
          <w:szCs w:val="20"/>
        </w:rPr>
        <w:t>ine</w:t>
      </w:r>
      <w:r w:rsidRPr="003B523D">
        <w:rPr>
          <w:rFonts w:ascii="Verdana" w:hAnsi="Verdana"/>
          <w:sz w:val="20"/>
          <w:szCs w:val="20"/>
        </w:rPr>
        <w:t>k jellemzése.</w:t>
      </w:r>
    </w:p>
    <w:p w14:paraId="1B965BD3" w14:textId="4AA85953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magyar biztonság- és védelempolitikai fejlődése a rendszerváltozás után (1990-202</w:t>
      </w:r>
      <w:r w:rsidR="00E766BC">
        <w:rPr>
          <w:rFonts w:ascii="Verdana" w:hAnsi="Verdana"/>
          <w:sz w:val="20"/>
          <w:szCs w:val="20"/>
        </w:rPr>
        <w:t>3</w:t>
      </w:r>
      <w:r w:rsidRPr="003B523D">
        <w:rPr>
          <w:rFonts w:ascii="Verdana" w:hAnsi="Verdana"/>
          <w:sz w:val="20"/>
          <w:szCs w:val="20"/>
        </w:rPr>
        <w:t>). Az egyes kormányzati ciklusok védelempolitikai értékelése. Magyarország nemzeti biztonsági stratégiája (2020)</w:t>
      </w:r>
    </w:p>
    <w:p w14:paraId="724D79B4" w14:textId="20DB26CD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védelempolitika jogi szabályozása. A</w:t>
      </w:r>
      <w:r w:rsidR="00E766BC">
        <w:rPr>
          <w:rFonts w:ascii="Verdana" w:hAnsi="Verdana"/>
          <w:sz w:val="20"/>
          <w:szCs w:val="20"/>
        </w:rPr>
        <w:t>z új</w:t>
      </w:r>
      <w:r w:rsidRPr="003B523D">
        <w:rPr>
          <w:rFonts w:ascii="Verdana" w:hAnsi="Verdana"/>
          <w:sz w:val="20"/>
          <w:szCs w:val="20"/>
        </w:rPr>
        <w:t xml:space="preserve"> honvédelmi törvény jellemzése. </w:t>
      </w:r>
    </w:p>
    <w:p w14:paraId="2142D63E" w14:textId="77777777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Magyar Honvédség feladatai, szervezeti felépítése, főbb harci-technikai eszközei.</w:t>
      </w:r>
    </w:p>
    <w:p w14:paraId="1C21D913" w14:textId="49F2B5E2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Honvédelmi Minisztérium felépítése és feladatai</w:t>
      </w:r>
      <w:r w:rsidR="00E766BC">
        <w:rPr>
          <w:rFonts w:ascii="Verdana" w:hAnsi="Verdana"/>
          <w:sz w:val="20"/>
          <w:szCs w:val="20"/>
        </w:rPr>
        <w:t>.</w:t>
      </w:r>
      <w:r w:rsidRPr="003B523D">
        <w:rPr>
          <w:rFonts w:ascii="Verdana" w:hAnsi="Verdana"/>
          <w:sz w:val="20"/>
          <w:szCs w:val="20"/>
        </w:rPr>
        <w:t xml:space="preserve"> </w:t>
      </w:r>
      <w:r w:rsidR="003E3BD3">
        <w:rPr>
          <w:rFonts w:ascii="Verdana" w:hAnsi="Verdana"/>
          <w:sz w:val="20"/>
          <w:szCs w:val="20"/>
        </w:rPr>
        <w:t xml:space="preserve">A Honvéd Vezérkar felépítése és feladatai. </w:t>
      </w:r>
      <w:r w:rsidRPr="003B523D">
        <w:rPr>
          <w:rFonts w:ascii="Verdana" w:hAnsi="Verdana"/>
          <w:sz w:val="20"/>
          <w:szCs w:val="20"/>
        </w:rPr>
        <w:t>A Magyar Honvédség irányítása és vezetése.</w:t>
      </w:r>
      <w:r w:rsidR="003E3BD3">
        <w:rPr>
          <w:rFonts w:ascii="Verdana" w:hAnsi="Verdana"/>
          <w:sz w:val="20"/>
          <w:szCs w:val="20"/>
        </w:rPr>
        <w:t xml:space="preserve"> </w:t>
      </w:r>
    </w:p>
    <w:p w14:paraId="3AD5A674" w14:textId="2F56D8B9" w:rsidR="003B523D" w:rsidRPr="003B523D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 xml:space="preserve">A Magyar Honvédség modernizációs feladatai és a nemzeti katonai stratégia (2021). A </w:t>
      </w:r>
      <w:r w:rsidR="003E3BD3">
        <w:rPr>
          <w:rFonts w:ascii="Verdana" w:hAnsi="Verdana"/>
          <w:sz w:val="20"/>
          <w:szCs w:val="20"/>
        </w:rPr>
        <w:t xml:space="preserve">Zrínyi </w:t>
      </w:r>
      <w:r w:rsidRPr="003B523D">
        <w:rPr>
          <w:rFonts w:ascii="Verdana" w:hAnsi="Verdana"/>
          <w:sz w:val="20"/>
          <w:szCs w:val="20"/>
        </w:rPr>
        <w:t>honvédelmi és haderőfejlesztési program (korábban Zrínyi 2026) jellemzése.</w:t>
      </w:r>
      <w:r w:rsidR="003E3BD3">
        <w:rPr>
          <w:rFonts w:ascii="Verdana" w:hAnsi="Verdana"/>
          <w:sz w:val="20"/>
          <w:szCs w:val="20"/>
        </w:rPr>
        <w:t xml:space="preserve"> A magyar védelmi ipar hozzájárulása a fejlesztéshez. </w:t>
      </w:r>
    </w:p>
    <w:p w14:paraId="22DDD6C1" w14:textId="77777777" w:rsidR="00E9221B" w:rsidRDefault="003B523D" w:rsidP="001F63DE">
      <w:pPr>
        <w:pStyle w:val="Listaszerbekezds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B523D">
        <w:rPr>
          <w:rFonts w:ascii="Verdana" w:hAnsi="Verdana"/>
          <w:sz w:val="20"/>
          <w:szCs w:val="20"/>
        </w:rPr>
        <w:t>A közigazgatás és a honvédelmi igazgatás rendszere Magyarországon. A különleges jogrend tartalma, időszakai</w:t>
      </w:r>
      <w:r w:rsidR="003E3BD3">
        <w:rPr>
          <w:rFonts w:ascii="Verdana" w:hAnsi="Verdana"/>
          <w:sz w:val="20"/>
          <w:szCs w:val="20"/>
        </w:rPr>
        <w:t xml:space="preserve"> és új</w:t>
      </w:r>
      <w:r w:rsidRPr="003B523D">
        <w:rPr>
          <w:rFonts w:ascii="Verdana" w:hAnsi="Verdana"/>
          <w:sz w:val="20"/>
          <w:szCs w:val="20"/>
        </w:rPr>
        <w:t xml:space="preserve"> szabályozása</w:t>
      </w:r>
      <w:r w:rsidR="003E3BD3">
        <w:rPr>
          <w:rFonts w:ascii="Verdana" w:hAnsi="Verdana"/>
          <w:sz w:val="20"/>
          <w:szCs w:val="20"/>
        </w:rPr>
        <w:t xml:space="preserve">. </w:t>
      </w:r>
    </w:p>
    <w:p w14:paraId="044055EE" w14:textId="77777777" w:rsidR="00E9221B" w:rsidRDefault="00E9221B" w:rsidP="00E9221B">
      <w:pPr>
        <w:pStyle w:val="Listaszerbekezds"/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315F7646" w14:textId="51A25F7D" w:rsidR="003B523D" w:rsidRPr="003B523D" w:rsidRDefault="003B523D" w:rsidP="00E9221B">
      <w:pPr>
        <w:pStyle w:val="Listaszerbekezds"/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14:paraId="0B51A02E" w14:textId="77777777" w:rsidR="008C3875" w:rsidRPr="00AF2351" w:rsidRDefault="009924AF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2023. március 02.</w:t>
      </w:r>
    </w:p>
    <w:p w14:paraId="557AAF92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5EAE49FB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A9C4" w14:textId="77777777" w:rsidR="00EF6A2F" w:rsidRDefault="00EF6A2F" w:rsidP="00C95B80">
      <w:pPr>
        <w:spacing w:after="0" w:line="240" w:lineRule="auto"/>
      </w:pPr>
      <w:r>
        <w:separator/>
      </w:r>
    </w:p>
  </w:endnote>
  <w:endnote w:type="continuationSeparator" w:id="0">
    <w:p w14:paraId="449358E6" w14:textId="77777777" w:rsidR="00EF6A2F" w:rsidRDefault="00EF6A2F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84E4EBA" w14:textId="62FC6572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A36231">
          <w:rPr>
            <w:rFonts w:ascii="Verdana" w:hAnsi="Verdana"/>
            <w:noProof/>
            <w:color w:val="C19A5E"/>
            <w:sz w:val="16"/>
            <w:szCs w:val="16"/>
          </w:rPr>
          <w:t>3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F2F18A0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CD090E9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7AB5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4762C7F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5495ED8F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8A76" w14:textId="77777777" w:rsidR="00EF6A2F" w:rsidRDefault="00EF6A2F" w:rsidP="00C95B80">
      <w:pPr>
        <w:spacing w:after="0" w:line="240" w:lineRule="auto"/>
      </w:pPr>
      <w:r>
        <w:separator/>
      </w:r>
    </w:p>
  </w:footnote>
  <w:footnote w:type="continuationSeparator" w:id="0">
    <w:p w14:paraId="4CF268D2" w14:textId="77777777" w:rsidR="00EF6A2F" w:rsidRDefault="00EF6A2F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A9265" w14:textId="77777777" w:rsidR="00F0065E" w:rsidRDefault="00A36231">
    <w:pPr>
      <w:pStyle w:val="lfej"/>
    </w:pPr>
    <w:r>
      <w:rPr>
        <w:noProof/>
        <w:lang w:eastAsia="hu-HU"/>
      </w:rPr>
      <w:pict w14:anchorId="6D950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366F" w14:textId="77777777" w:rsidR="00F0065E" w:rsidRDefault="00A36231">
    <w:pPr>
      <w:pStyle w:val="lfej"/>
    </w:pPr>
    <w:r>
      <w:rPr>
        <w:noProof/>
        <w:lang w:eastAsia="hu-HU"/>
      </w:rPr>
      <w:pict w14:anchorId="09ED1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1998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8206A10" wp14:editId="3E91D5A8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231">
      <w:rPr>
        <w:noProof/>
        <w:lang w:eastAsia="hu-HU"/>
      </w:rPr>
      <w:pict w14:anchorId="7BBE7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B3"/>
    <w:multiLevelType w:val="hybridMultilevel"/>
    <w:tmpl w:val="CA104742"/>
    <w:lvl w:ilvl="0" w:tplc="32D0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50B"/>
    <w:multiLevelType w:val="hybridMultilevel"/>
    <w:tmpl w:val="C9E4DA40"/>
    <w:lvl w:ilvl="0" w:tplc="56EE5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1E5"/>
    <w:multiLevelType w:val="hybridMultilevel"/>
    <w:tmpl w:val="0DB8C624"/>
    <w:lvl w:ilvl="0" w:tplc="C534EC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28"/>
    <w:multiLevelType w:val="hybridMultilevel"/>
    <w:tmpl w:val="CB8074FC"/>
    <w:lvl w:ilvl="0" w:tplc="1398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C22"/>
    <w:multiLevelType w:val="hybridMultilevel"/>
    <w:tmpl w:val="0CAE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5D11"/>
    <w:multiLevelType w:val="hybridMultilevel"/>
    <w:tmpl w:val="5EB6ECC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5554"/>
    <w:multiLevelType w:val="hybridMultilevel"/>
    <w:tmpl w:val="7932DC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0605"/>
    <w:multiLevelType w:val="hybridMultilevel"/>
    <w:tmpl w:val="057E1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663"/>
    <w:multiLevelType w:val="hybridMultilevel"/>
    <w:tmpl w:val="855212FC"/>
    <w:lvl w:ilvl="0" w:tplc="847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4D0"/>
    <w:multiLevelType w:val="hybridMultilevel"/>
    <w:tmpl w:val="405A4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D04E7"/>
    <w:multiLevelType w:val="hybridMultilevel"/>
    <w:tmpl w:val="85DA8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0788F"/>
    <w:multiLevelType w:val="hybridMultilevel"/>
    <w:tmpl w:val="405A4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6231"/>
    <w:rsid w:val="00063922"/>
    <w:rsid w:val="000A62B5"/>
    <w:rsid w:val="000B2039"/>
    <w:rsid w:val="000C4F79"/>
    <w:rsid w:val="000D383A"/>
    <w:rsid w:val="000F4A92"/>
    <w:rsid w:val="00133358"/>
    <w:rsid w:val="001443A7"/>
    <w:rsid w:val="00194FE9"/>
    <w:rsid w:val="001B07E1"/>
    <w:rsid w:val="001F63DE"/>
    <w:rsid w:val="00246C4A"/>
    <w:rsid w:val="00272D98"/>
    <w:rsid w:val="002836D7"/>
    <w:rsid w:val="002B7A00"/>
    <w:rsid w:val="002C3B84"/>
    <w:rsid w:val="00374CBD"/>
    <w:rsid w:val="00385A70"/>
    <w:rsid w:val="003B523D"/>
    <w:rsid w:val="003E0086"/>
    <w:rsid w:val="003E3BD3"/>
    <w:rsid w:val="00474A4A"/>
    <w:rsid w:val="00484592"/>
    <w:rsid w:val="005000C5"/>
    <w:rsid w:val="005231B8"/>
    <w:rsid w:val="0054292A"/>
    <w:rsid w:val="005E0C14"/>
    <w:rsid w:val="006321BE"/>
    <w:rsid w:val="00650F50"/>
    <w:rsid w:val="006F1FD9"/>
    <w:rsid w:val="00780C23"/>
    <w:rsid w:val="008068D4"/>
    <w:rsid w:val="008250B2"/>
    <w:rsid w:val="008C3875"/>
    <w:rsid w:val="00900586"/>
    <w:rsid w:val="00933522"/>
    <w:rsid w:val="00941FC3"/>
    <w:rsid w:val="00954710"/>
    <w:rsid w:val="009924AF"/>
    <w:rsid w:val="009A4130"/>
    <w:rsid w:val="009D0616"/>
    <w:rsid w:val="00A100A3"/>
    <w:rsid w:val="00A36231"/>
    <w:rsid w:val="00A628A2"/>
    <w:rsid w:val="00A72771"/>
    <w:rsid w:val="00AA76E5"/>
    <w:rsid w:val="00AB072E"/>
    <w:rsid w:val="00AC2D23"/>
    <w:rsid w:val="00AF2351"/>
    <w:rsid w:val="00B67EF6"/>
    <w:rsid w:val="00BB2D9D"/>
    <w:rsid w:val="00BF7F62"/>
    <w:rsid w:val="00C52568"/>
    <w:rsid w:val="00C669B3"/>
    <w:rsid w:val="00C82896"/>
    <w:rsid w:val="00C95B80"/>
    <w:rsid w:val="00CA52AC"/>
    <w:rsid w:val="00CC1D4E"/>
    <w:rsid w:val="00D058AA"/>
    <w:rsid w:val="00D363D4"/>
    <w:rsid w:val="00D37375"/>
    <w:rsid w:val="00D57301"/>
    <w:rsid w:val="00D961C7"/>
    <w:rsid w:val="00E50EB8"/>
    <w:rsid w:val="00E54C5A"/>
    <w:rsid w:val="00E766BC"/>
    <w:rsid w:val="00E83F04"/>
    <w:rsid w:val="00E9221B"/>
    <w:rsid w:val="00E946E7"/>
    <w:rsid w:val="00ED323F"/>
    <w:rsid w:val="00EF6A2F"/>
    <w:rsid w:val="00F0065E"/>
    <w:rsid w:val="00F21C1B"/>
    <w:rsid w:val="00F36F1D"/>
    <w:rsid w:val="00F775BA"/>
    <w:rsid w:val="00F94723"/>
    <w:rsid w:val="00F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D2200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NKE pontok,Dot pt,List Paragraph Char Char Char,Indicator Text,Numbered Para 1,List Paragraph à moi,lista_2,Számozott lista 1,Eszeri felsorolás,Welt L Char,Welt L,Bullet List,FooterText,numbered,Paragraphe de liste1,列出段落,列出段落1,リスト段落1"/>
    <w:basedOn w:val="Norml"/>
    <w:link w:val="ListaszerbekezdsChar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NKE pontok Char,Dot pt Char,List Paragraph Char Char Char Char,Indicator Text Char,Numbered Para 1 Char,List Paragraph à moi Char,lista_2 Char,Számozott lista 1 Char,Eszeri felsorolás Char,Welt L Char Char,Welt L Char1,列出段落 Char"/>
    <w:link w:val="Listaszerbekezds"/>
    <w:uiPriority w:val="34"/>
    <w:qFormat/>
    <w:rsid w:val="000062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7277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DD54-B737-4B0D-8177-8FA654AD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Szilágyiné Csollák Klára</cp:lastModifiedBy>
  <cp:revision>4</cp:revision>
  <dcterms:created xsi:type="dcterms:W3CDTF">2023-03-10T11:07:00Z</dcterms:created>
  <dcterms:modified xsi:type="dcterms:W3CDTF">2023-03-16T13:25:00Z</dcterms:modified>
</cp:coreProperties>
</file>